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Les exercices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Систематизација стечених знања која се односе на употребу једноставних језичких средстава у вези са темом.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поставља једноставнија питања личне природе;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у неколико једноставнијих везаних исказа саопшти информације личне природе о себи и другима водећи рачуна о приватности и поверљивости;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у неколико везаних једноставнијих исказа;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Географије,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J‘ai envie..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понављају изразе и брзалице у радној свесци на стр. 13, вежбе 4А и 4В. Наставник подстиче да што брже и разговетније изговоре предложене примере.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решавају мини тест 4Ц на стр. 13. Са наставником проверавају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Договор о пројекту за наредни час: ученици у пару или мини групи треба да смисле питања и одговоре како би симулирали интервју. Наставник усмерава ученике, ученици бирају замишљену или познату особу са којом би разговарали.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LibreOffice/5.3.2.2$Windows_x86 LibreOffice_project/6cd4f1ef626f15116896b1d8e1398b56da0d0ee1</Application>
  <Pages>2</Pages>
  <Words>254</Words>
  <Characters>1491</Characters>
  <CharactersWithSpaces>1713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2021-06-08T08:08:53Z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